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8AC4" w14:textId="28747EC3" w:rsidR="00E05C0A" w:rsidRPr="00BB1508" w:rsidRDefault="00F21D25" w:rsidP="00BB1508">
      <w:pPr>
        <w:shd w:val="clear" w:color="auto" w:fill="0070C0"/>
        <w:spacing w:after="0" w:line="276" w:lineRule="auto"/>
        <w:ind w:left="-567" w:right="-567"/>
        <w:rPr>
          <w:rFonts w:ascii="Tahoma" w:hAnsi="Tahoma" w:cs="Tahoma"/>
          <w:b/>
          <w:color w:val="FFFFFF" w:themeColor="background1"/>
          <w:sz w:val="10"/>
          <w:szCs w:val="10"/>
          <w:u w:val="single"/>
        </w:rPr>
      </w:pPr>
      <w:r w:rsidRPr="00591286">
        <w:rPr>
          <w:rFonts w:ascii="Tahoma" w:hAnsi="Tahoma" w:cs="Tahoma"/>
          <w:b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4D31FC6" wp14:editId="0F7D4000">
            <wp:simplePos x="0" y="0"/>
            <wp:positionH relativeFrom="margin">
              <wp:posOffset>6334125</wp:posOffset>
            </wp:positionH>
            <wp:positionV relativeFrom="margin">
              <wp:align>top</wp:align>
            </wp:positionV>
            <wp:extent cx="876300" cy="1065530"/>
            <wp:effectExtent l="0" t="0" r="0" b="1270"/>
            <wp:wrapSquare wrapText="bothSides"/>
            <wp:docPr id="2649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50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4F4AC" w14:textId="20A6576C" w:rsidR="008E7D57" w:rsidRPr="00672DA7" w:rsidRDefault="00BB1508" w:rsidP="00BB1508">
      <w:pPr>
        <w:shd w:val="clear" w:color="auto" w:fill="0070C0"/>
        <w:spacing w:after="0" w:line="276" w:lineRule="auto"/>
        <w:ind w:left="-567" w:right="-567"/>
        <w:jc w:val="center"/>
        <w:rPr>
          <w:rFonts w:ascii="Tahoma" w:hAnsi="Tahoma" w:cs="Tahoma"/>
          <w:b/>
          <w:color w:val="FFFFFF" w:themeColor="background1"/>
          <w:sz w:val="28"/>
          <w:szCs w:val="28"/>
        </w:rPr>
      </w:pPr>
      <w:bookmarkStart w:id="0" w:name="_Hlk153136145"/>
      <w:r w:rsidRPr="00672DA7">
        <w:rPr>
          <w:rFonts w:ascii="Tahoma" w:hAnsi="Tahoma" w:cs="Tahoma"/>
          <w:b/>
          <w:color w:val="FFFFFF" w:themeColor="background1"/>
          <w:sz w:val="28"/>
          <w:szCs w:val="28"/>
        </w:rPr>
        <w:t>MUBIN ABBAS INAMDAR</w:t>
      </w:r>
      <w:r w:rsidR="00591286" w:rsidRPr="00672DA7">
        <w:rPr>
          <w:noProof/>
        </w:rPr>
        <w:t xml:space="preserve"> </w:t>
      </w:r>
    </w:p>
    <w:bookmarkEnd w:id="0"/>
    <w:p w14:paraId="63FB9D9A" w14:textId="77777777" w:rsidR="00BB1508" w:rsidRPr="00BB1508" w:rsidRDefault="00BB1508" w:rsidP="00BB1508">
      <w:pPr>
        <w:shd w:val="clear" w:color="auto" w:fill="0070C0"/>
        <w:spacing w:after="0" w:line="276" w:lineRule="auto"/>
        <w:ind w:left="-567" w:right="-567"/>
        <w:jc w:val="center"/>
        <w:rPr>
          <w:rStyle w:val="Hyperlink"/>
          <w:rFonts w:ascii="Tahoma" w:hAnsi="Tahoma" w:cs="Tahoma"/>
          <w:b/>
          <w:bCs/>
          <w:color w:val="FFFFFF" w:themeColor="background1"/>
          <w:sz w:val="10"/>
          <w:szCs w:val="14"/>
          <w:u w:val="none"/>
        </w:rPr>
      </w:pPr>
    </w:p>
    <w:p w14:paraId="42115B88" w14:textId="1BF05013" w:rsidR="00E05C0A" w:rsidRPr="00BB1508" w:rsidRDefault="00BB1508" w:rsidP="00BB1508">
      <w:pPr>
        <w:shd w:val="clear" w:color="auto" w:fill="0070C0"/>
        <w:spacing w:after="0" w:line="276" w:lineRule="auto"/>
        <w:ind w:left="-567" w:right="-567"/>
        <w:jc w:val="center"/>
        <w:rPr>
          <w:rFonts w:ascii="Tahoma" w:hAnsi="Tahoma" w:cs="Tahoma"/>
          <w:b/>
          <w:bCs/>
          <w:color w:val="FFFFFF" w:themeColor="background1"/>
        </w:rPr>
      </w:pPr>
      <w:r>
        <w:rPr>
          <w:rFonts w:ascii="Tahoma" w:hAnsi="Tahoma" w:cs="Tahoma"/>
          <w:b/>
          <w:bCs/>
          <w:color w:val="FFFFFF" w:themeColor="background1"/>
        </w:rPr>
        <w:t>SENIOR FINANCE &amp; ACCOUNTS MANAGEMENT PROFESSIONAL</w:t>
      </w:r>
    </w:p>
    <w:p w14:paraId="2EF15902" w14:textId="77777777" w:rsidR="00E05C0A" w:rsidRPr="00BB1508" w:rsidRDefault="00E05C0A" w:rsidP="00BB1508">
      <w:pPr>
        <w:shd w:val="clear" w:color="auto" w:fill="0070C0"/>
        <w:spacing w:after="0" w:line="276" w:lineRule="auto"/>
        <w:ind w:left="-567" w:right="-567"/>
        <w:jc w:val="center"/>
        <w:rPr>
          <w:rFonts w:ascii="Tahoma" w:hAnsi="Tahoma" w:cs="Tahoma"/>
          <w:color w:val="FFFFFF" w:themeColor="background1"/>
          <w:sz w:val="8"/>
          <w:szCs w:val="8"/>
        </w:rPr>
      </w:pPr>
    </w:p>
    <w:p w14:paraId="44835926" w14:textId="5CF304F7" w:rsidR="008E7D57" w:rsidRDefault="00E51A5E" w:rsidP="00BB1508">
      <w:pPr>
        <w:shd w:val="clear" w:color="auto" w:fill="0070C0"/>
        <w:spacing w:after="0" w:line="276" w:lineRule="auto"/>
        <w:ind w:left="-567" w:right="-567"/>
        <w:jc w:val="center"/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</w:pPr>
      <w:bookmarkStart w:id="1" w:name="_Hlk153136155"/>
      <w:r w:rsidRPr="00BB1508">
        <w:rPr>
          <w:rStyle w:val="Hyperlink"/>
          <w:rFonts w:ascii="Tahoma" w:hAnsi="Tahoma" w:cs="Tahoma"/>
          <w:b/>
          <w:color w:val="FFFFFF" w:themeColor="background1"/>
          <w:sz w:val="18"/>
          <w:szCs w:val="18"/>
          <w:u w:val="none"/>
        </w:rPr>
        <w:t>Mobile</w:t>
      </w:r>
      <w:r w:rsidRPr="00BB1508"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  <w:t xml:space="preserve">: </w:t>
      </w:r>
      <w:r w:rsidR="00BB1508" w:rsidRPr="00BB1508"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  <w:t>0091-8356866994,</w:t>
      </w:r>
      <w:r w:rsidR="00BE1043"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  <w:t xml:space="preserve"> 00971 558128915</w:t>
      </w:r>
      <w:r w:rsidRPr="00BB1508"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  <w:t xml:space="preserve"> || </w:t>
      </w:r>
      <w:r w:rsidRPr="00BB1508">
        <w:rPr>
          <w:rStyle w:val="Hyperlink"/>
          <w:rFonts w:ascii="Tahoma" w:hAnsi="Tahoma" w:cs="Tahoma"/>
          <w:b/>
          <w:color w:val="FFFFFF" w:themeColor="background1"/>
          <w:sz w:val="18"/>
          <w:szCs w:val="18"/>
          <w:u w:val="none"/>
        </w:rPr>
        <w:t>Email</w:t>
      </w:r>
      <w:r w:rsidRPr="00BB1508"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  <w:t xml:space="preserve">: </w:t>
      </w:r>
      <w:r w:rsidR="00591286" w:rsidRPr="00591286"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  <w:t>mubeen2904@gmail.com</w:t>
      </w:r>
    </w:p>
    <w:bookmarkEnd w:id="1"/>
    <w:p w14:paraId="5182024E" w14:textId="1610853C" w:rsidR="00591286" w:rsidRPr="00BB1508" w:rsidRDefault="00591286" w:rsidP="00BB1508">
      <w:pPr>
        <w:shd w:val="clear" w:color="auto" w:fill="0070C0"/>
        <w:spacing w:after="0" w:line="276" w:lineRule="auto"/>
        <w:ind w:left="-567" w:right="-567"/>
        <w:jc w:val="center"/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</w:pPr>
      <w:r w:rsidRPr="00591286">
        <w:rPr>
          <w:rStyle w:val="Hyperlink"/>
          <w:rFonts w:ascii="Tahoma" w:hAnsi="Tahoma" w:cs="Tahoma"/>
          <w:b/>
          <w:color w:val="FFFFFF" w:themeColor="background1"/>
          <w:sz w:val="18"/>
          <w:szCs w:val="18"/>
          <w:u w:val="none"/>
        </w:rPr>
        <w:t>Address</w:t>
      </w:r>
      <w:r w:rsidRPr="00591286"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  <w:t xml:space="preserve">: </w:t>
      </w:r>
      <w:proofErr w:type="spellStart"/>
      <w:r w:rsidRPr="00591286"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  <w:t>Koperkhairane</w:t>
      </w:r>
      <w:proofErr w:type="spellEnd"/>
      <w:r w:rsidRPr="00591286">
        <w:rPr>
          <w:rStyle w:val="Hyperlink"/>
          <w:rFonts w:ascii="Tahoma" w:hAnsi="Tahoma" w:cs="Tahoma"/>
          <w:bCs/>
          <w:color w:val="FFFFFF" w:themeColor="background1"/>
          <w:sz w:val="18"/>
          <w:szCs w:val="18"/>
          <w:u w:val="none"/>
        </w:rPr>
        <w:t>, Navi Mumbai-MH, India, 400709.</w:t>
      </w:r>
    </w:p>
    <w:p w14:paraId="1394465B" w14:textId="77777777" w:rsidR="00E05C0A" w:rsidRPr="00BB1508" w:rsidRDefault="00E05C0A" w:rsidP="00BB1508">
      <w:pPr>
        <w:shd w:val="clear" w:color="auto" w:fill="0070C0"/>
        <w:spacing w:after="0" w:line="276" w:lineRule="auto"/>
        <w:ind w:left="-567" w:right="-567"/>
        <w:jc w:val="center"/>
        <w:rPr>
          <w:rStyle w:val="Hyperlink"/>
          <w:rFonts w:ascii="Tahoma" w:hAnsi="Tahoma" w:cs="Tahoma"/>
          <w:bCs/>
          <w:color w:val="FFFFFF" w:themeColor="background1"/>
          <w:sz w:val="4"/>
          <w:szCs w:val="4"/>
          <w:u w:val="none"/>
        </w:rPr>
      </w:pPr>
    </w:p>
    <w:p w14:paraId="170AA9DE" w14:textId="57607B4D" w:rsidR="008E7D57" w:rsidRPr="00BB1508" w:rsidRDefault="008E7D57" w:rsidP="00BB1508">
      <w:pPr>
        <w:spacing w:after="0" w:line="276" w:lineRule="auto"/>
        <w:ind w:left="-426"/>
        <w:rPr>
          <w:rStyle w:val="Hyperlink"/>
          <w:rFonts w:ascii="Tahoma" w:hAnsi="Tahoma" w:cs="Tahoma"/>
          <w:b/>
          <w:color w:val="000000" w:themeColor="text1"/>
          <w:sz w:val="6"/>
          <w:szCs w:val="6"/>
          <w:u w:val="none"/>
        </w:rPr>
      </w:pPr>
    </w:p>
    <w:tbl>
      <w:tblPr>
        <w:tblStyle w:val="TableGrid"/>
        <w:tblW w:w="119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229"/>
      </w:tblGrid>
      <w:tr w:rsidR="00EF5B9C" w:rsidRPr="00BB1508" w14:paraId="402F3B1F" w14:textId="77777777" w:rsidTr="00E05C0A">
        <w:trPr>
          <w:trHeight w:val="11681"/>
        </w:trPr>
        <w:tc>
          <w:tcPr>
            <w:tcW w:w="4678" w:type="dxa"/>
            <w:shd w:val="clear" w:color="auto" w:fill="auto"/>
          </w:tcPr>
          <w:p w14:paraId="7DE9964A" w14:textId="55951F9E" w:rsidR="008E7D57" w:rsidRPr="00BB1508" w:rsidRDefault="008E7D57" w:rsidP="00BB1508">
            <w:pPr>
              <w:widowControl w:val="0"/>
              <w:spacing w:line="276" w:lineRule="auto"/>
              <w:jc w:val="right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4"/>
                <w:szCs w:val="4"/>
              </w:rPr>
            </w:pPr>
          </w:p>
          <w:p w14:paraId="05379C6F" w14:textId="71409F14" w:rsidR="008E7D57" w:rsidRPr="00BB1508" w:rsidRDefault="00E05C0A" w:rsidP="00BB1508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BB1508"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  <w:t>PROFILE SUMMARY</w:t>
            </w:r>
          </w:p>
          <w:p w14:paraId="0D9FAE91" w14:textId="40FB2F09" w:rsidR="00A35150" w:rsidRPr="00A35150" w:rsidRDefault="00A35150" w:rsidP="00591286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Seasoned and Accomplished </w:t>
            </w:r>
            <w:r w:rsidRPr="00A3515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Professional with </w:t>
            </w:r>
            <w:r w:rsidR="0059128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3679D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</w:t>
            </w:r>
            <w:bookmarkStart w:id="2" w:name="_GoBack"/>
            <w:bookmarkEnd w:id="2"/>
            <w:r w:rsidRPr="00A3515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+ years of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standout experience</w:t>
            </w:r>
            <w:r w:rsidRPr="00A3515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35150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 finance &amp; accounts, reporting, finalization/</w:t>
            </w:r>
            <w:r w:rsidRPr="00A35150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consolidation</w:t>
            </w:r>
            <w:r w:rsidRPr="00A3515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of financial statements, taxation &amp; compliance,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and </w:t>
            </w:r>
            <w:r w:rsidRPr="00A35150">
              <w:rPr>
                <w:rFonts w:ascii="Tahoma" w:hAnsi="Tahoma" w:cs="Tahoma"/>
                <w:color w:val="000000" w:themeColor="text1"/>
                <w:sz w:val="18"/>
                <w:szCs w:val="18"/>
              </w:rPr>
              <w:t>auditing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A3515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functions, leading to long-term improvements in cost saving, profitability, and productivity. </w:t>
            </w:r>
          </w:p>
          <w:p w14:paraId="6A437F68" w14:textId="77777777" w:rsidR="00A35150" w:rsidRDefault="00A35150" w:rsidP="00591286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515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Credible reputation </w:t>
            </w:r>
            <w:r w:rsidRPr="00A35150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 leading the financial and operational aspects of the business, focusing on improved financial returns, increased cash flow, improved financial position and increased overall business value.</w:t>
            </w:r>
          </w:p>
          <w:p w14:paraId="4C67ECFE" w14:textId="51CC6EF3" w:rsidR="00A35150" w:rsidRPr="00A35150" w:rsidRDefault="00A35150" w:rsidP="00591286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515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Illustrious history</w:t>
            </w:r>
            <w:r w:rsidRPr="00A3515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in providing and analyzing critical financial data, delivering exceptional leadership and advising support, and reporting to assist in critical business decision-making.</w:t>
            </w:r>
          </w:p>
          <w:p w14:paraId="41F8B157" w14:textId="479B9262" w:rsidR="00A35150" w:rsidRPr="00A35150" w:rsidRDefault="00A35150" w:rsidP="0059128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35150">
              <w:rPr>
                <w:rFonts w:ascii="Tahoma" w:hAnsi="Tahoma" w:cs="Tahoma"/>
                <w:b/>
                <w:bCs/>
                <w:sz w:val="18"/>
                <w:szCs w:val="20"/>
                <w:lang w:eastAsia="en-GB"/>
              </w:rPr>
              <w:t>Remarkable proficiency</w:t>
            </w:r>
            <w:r w:rsidRPr="00A35150">
              <w:rPr>
                <w:rFonts w:ascii="Tahoma" w:hAnsi="Tahoma" w:cs="Tahoma"/>
                <w:sz w:val="18"/>
                <w:szCs w:val="20"/>
                <w:lang w:eastAsia="en-GB"/>
              </w:rPr>
              <w:t xml:space="preserve"> in minimizing the company’s tax exposure and filing tax returns while complying with </w:t>
            </w:r>
            <w:r w:rsidRPr="00A35150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</w:t>
            </w:r>
            <w:r w:rsidRPr="00A35150">
              <w:rPr>
                <w:rFonts w:ascii="Tahoma" w:hAnsi="Tahoma" w:cs="Tahoma"/>
                <w:sz w:val="18"/>
                <w:szCs w:val="20"/>
                <w:lang w:eastAsia="en-GB"/>
              </w:rPr>
              <w:t xml:space="preserve"> applicable laws and regulations. Proven expertise in minimizing risk and assisting organizations not to overpay taxes by identifying available tax deduction</w:t>
            </w:r>
            <w:r w:rsidR="00C00405">
              <w:rPr>
                <w:rFonts w:ascii="Tahoma" w:hAnsi="Tahoma" w:cs="Tahoma"/>
                <w:sz w:val="18"/>
                <w:szCs w:val="20"/>
                <w:lang w:eastAsia="en-GB"/>
              </w:rPr>
              <w:t>s</w:t>
            </w:r>
            <w:r w:rsidRPr="00A35150">
              <w:rPr>
                <w:rFonts w:ascii="Tahoma" w:hAnsi="Tahoma" w:cs="Tahoma"/>
                <w:sz w:val="18"/>
                <w:szCs w:val="20"/>
                <w:lang w:eastAsia="en-GB"/>
              </w:rPr>
              <w:t>.</w:t>
            </w:r>
          </w:p>
          <w:p w14:paraId="63AAC796" w14:textId="77777777" w:rsidR="00E05C0A" w:rsidRPr="00672DA7" w:rsidRDefault="00E05C0A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FAB992A" w14:textId="1373E4C8" w:rsidR="00E05C0A" w:rsidRPr="00BB1508" w:rsidRDefault="00E05C0A" w:rsidP="00591286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BB1508"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  <w:t>EDUCATION CREDENTIALS</w:t>
            </w:r>
          </w:p>
          <w:p w14:paraId="417436A3" w14:textId="77777777" w:rsidR="00A35150" w:rsidRPr="00A35150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4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>VAT in the UAE Complete course: Principles and Application with Udemy E-Learning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– 2023.</w:t>
            </w:r>
          </w:p>
          <w:p w14:paraId="2260EDE6" w14:textId="77777777" w:rsidR="00A35150" w:rsidRPr="00A35150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4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>SAP FICO (HANA S4) Internship with Henry Harvin Education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– 2022.</w:t>
            </w:r>
          </w:p>
          <w:p w14:paraId="04EA027A" w14:textId="563B4E70" w:rsidR="00A35150" w:rsidRPr="00A35150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4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>Diploma in Business Administration, SPM, Pune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– 2005.</w:t>
            </w:r>
          </w:p>
          <w:p w14:paraId="206DAC0F" w14:textId="3E832126" w:rsidR="00A35150" w:rsidRPr="00A35150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4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>Diploma in Co-Operation &amp; Accountancy (Govt Certified Auditor), Maharashtra Govt.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– 2005.</w:t>
            </w:r>
          </w:p>
          <w:p w14:paraId="1F9CD0FE" w14:textId="77777777" w:rsidR="00A35150" w:rsidRPr="00A35150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4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>B.Com. from Mumbai University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– 2003.</w:t>
            </w:r>
          </w:p>
          <w:p w14:paraId="68BC6E39" w14:textId="295860B7" w:rsidR="00A35150" w:rsidRPr="00A35150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24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>Diploma in Computer Applications &amp; MS</w:t>
            </w:r>
            <w:r w:rsidR="00C00405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>Office (Advance Excel (Pivot Table,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>Vlookup</w:t>
            </w:r>
            <w:proofErr w:type="spellEnd"/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 xml:space="preserve"> &amp; dashboard)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– 2003.</w:t>
            </w:r>
          </w:p>
          <w:p w14:paraId="58A95478" w14:textId="1E0A0012" w:rsidR="00E05C0A" w:rsidRPr="00A35150" w:rsidRDefault="00A35150" w:rsidP="00591286">
            <w:pPr>
              <w:numPr>
                <w:ilvl w:val="0"/>
                <w:numId w:val="10"/>
              </w:numPr>
              <w:spacing w:line="276" w:lineRule="auto"/>
              <w:ind w:right="245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A35150">
              <w:rPr>
                <w:rFonts w:ascii="Tahoma" w:hAnsi="Tahoma" w:cs="Tahoma"/>
                <w:sz w:val="18"/>
                <w:szCs w:val="18"/>
                <w:lang w:val="en-GB"/>
              </w:rPr>
              <w:t>Certificate Course in Tally 5.4, 6.3, &amp; 7.2, ERP 9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– 2001.</w:t>
            </w:r>
          </w:p>
          <w:p w14:paraId="30C50C16" w14:textId="77777777" w:rsidR="00A35150" w:rsidRPr="00672DA7" w:rsidRDefault="00A35150" w:rsidP="00591286">
            <w:pPr>
              <w:spacing w:line="276" w:lineRule="auto"/>
              <w:ind w:right="245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</w:p>
          <w:p w14:paraId="731A6305" w14:textId="317433C6" w:rsidR="00E05C0A" w:rsidRPr="00BB1508" w:rsidRDefault="00A35150" w:rsidP="00591286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  <w:t>TRAININGS</w:t>
            </w:r>
          </w:p>
          <w:p w14:paraId="4E9314BE" w14:textId="6725BB61" w:rsidR="00A35150" w:rsidRPr="00A35150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Attended seminar at JW Marriott Hotel Mumbai by Princeton Academy for VAT, WCT, CST, Service Tax &amp; GST</w:t>
            </w:r>
          </w:p>
          <w:p w14:paraId="7B8FA2D9" w14:textId="74CFE8DF" w:rsidR="00A35150" w:rsidRPr="00A35150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Certified Internal Auditor for ISO 9001: 2008.</w:t>
            </w:r>
          </w:p>
          <w:p w14:paraId="50675944" w14:textId="5F48541E" w:rsidR="00A35150" w:rsidRPr="00A35150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Underwent training at:</w:t>
            </w:r>
          </w:p>
          <w:p w14:paraId="27D8580D" w14:textId="0729D7CD" w:rsidR="00A35150" w:rsidRPr="00A35150" w:rsidRDefault="00A35150" w:rsidP="0059128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Govt. of Maharashtra training for Online Tender</w:t>
            </w:r>
          </w:p>
          <w:p w14:paraId="5655B871" w14:textId="52224124" w:rsidR="00E05C0A" w:rsidRPr="00BB1508" w:rsidRDefault="00A35150" w:rsidP="0059128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Reliance Industries training for Project Invoicing</w:t>
            </w:r>
          </w:p>
          <w:p w14:paraId="1B66E878" w14:textId="77777777" w:rsidR="00E05C0A" w:rsidRPr="00672DA7" w:rsidRDefault="00E05C0A" w:rsidP="00591286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14:paraId="4015E7F1" w14:textId="403F7A1C" w:rsidR="00E05C0A" w:rsidRPr="00BB1508" w:rsidRDefault="00E05C0A" w:rsidP="00591286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BB1508"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  <w:t>TECHNICAL SKILLS</w:t>
            </w:r>
          </w:p>
          <w:p w14:paraId="0B58E3CE" w14:textId="67169E5F" w:rsidR="00E05C0A" w:rsidRPr="00BB1508" w:rsidRDefault="00A35150" w:rsidP="0059128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Well</w:t>
            </w:r>
            <w:r w:rsidR="00C00405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versed with ORION Software Oracle</w:t>
            </w:r>
            <w:r w:rsidR="00C00405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based ERP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and </w:t>
            </w:r>
            <w:proofErr w:type="spellStart"/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ShowMan</w:t>
            </w:r>
            <w:proofErr w:type="spellEnd"/>
            <w:r w:rsidRPr="00A3515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Payroll Software</w:t>
            </w:r>
          </w:p>
          <w:p w14:paraId="678DB174" w14:textId="77777777" w:rsidR="00E05C0A" w:rsidRPr="00672DA7" w:rsidRDefault="00E05C0A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</w:p>
          <w:p w14:paraId="41DDA694" w14:textId="05795AFE" w:rsidR="00E05C0A" w:rsidRPr="00BB1508" w:rsidRDefault="00E05C0A" w:rsidP="00591286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BB1508"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  <w:t>CORE COMPETENCIES</w:t>
            </w:r>
          </w:p>
          <w:p w14:paraId="470FBAE3" w14:textId="500C5166" w:rsidR="00E05C0A" w:rsidRPr="00BB1508" w:rsidRDefault="00E05C0A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bookmarkStart w:id="3" w:name="_Hlk153136179"/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Strategic </w:t>
            </w:r>
            <w:r w:rsidR="00A35150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Planning</w:t>
            </w:r>
          </w:p>
          <w:p w14:paraId="66144755" w14:textId="74660C3B" w:rsidR="00E05C0A" w:rsidRPr="00BB1508" w:rsidRDefault="00E05C0A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lastRenderedPageBreak/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47EB3BC3" w14:textId="77777777" w:rsidR="00E05C0A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Finance &amp; Accounts</w:t>
            </w:r>
          </w:p>
          <w:p w14:paraId="202871C5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29A4FF89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Accounts Receivable &amp; Payable</w:t>
            </w:r>
          </w:p>
          <w:p w14:paraId="4AA15B65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036E0C38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Auditing</w:t>
            </w:r>
          </w:p>
          <w:p w14:paraId="2B3C20D0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17A1E582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Internal Controls</w:t>
            </w:r>
          </w:p>
          <w:p w14:paraId="3CC38D5A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3536363C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Taxation</w:t>
            </w:r>
          </w:p>
          <w:p w14:paraId="35127B9B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4776BD21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Budgeting</w:t>
            </w:r>
          </w:p>
          <w:p w14:paraId="646C5D86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061478C4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MIS Reporting</w:t>
            </w:r>
          </w:p>
          <w:p w14:paraId="2C4CBB57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0F9D5703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Payroll Administration</w:t>
            </w:r>
          </w:p>
          <w:p w14:paraId="16BBD465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493850D2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Cost Accounting</w:t>
            </w:r>
          </w:p>
          <w:p w14:paraId="3ECFEDB9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571D1B67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Financial Closing</w:t>
            </w:r>
          </w:p>
          <w:p w14:paraId="49DFB38A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54F50385" w14:textId="77777777" w:rsidR="00A35150" w:rsidRDefault="00A35150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Financial Statement Preparation</w:t>
            </w:r>
          </w:p>
          <w:p w14:paraId="25F78D1A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2745C75C" w14:textId="77777777" w:rsidR="00A35150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Funds Management</w:t>
            </w:r>
          </w:p>
          <w:p w14:paraId="24ECDB5D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22D6CD94" w14:textId="762F128F" w:rsidR="00591286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Client Engagement</w:t>
            </w:r>
          </w:p>
          <w:p w14:paraId="2DA84C1D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09536282" w14:textId="1F8BCE6B" w:rsidR="00591286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VAT, GST, TDS &amp; IT</w:t>
            </w:r>
          </w:p>
          <w:p w14:paraId="2C7CB965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66BD4CF5" w14:textId="1FEA9F31" w:rsidR="00591286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Inventory Management</w:t>
            </w:r>
          </w:p>
          <w:p w14:paraId="47E12EC2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54029B4C" w14:textId="724819D7" w:rsidR="00591286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Working Capital Management</w:t>
            </w:r>
          </w:p>
          <w:p w14:paraId="24CBA4DD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1C33CB5A" w14:textId="77777777" w:rsidR="00591286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Variance Analysis </w:t>
            </w:r>
          </w:p>
          <w:p w14:paraId="33808AB4" w14:textId="77777777" w:rsidR="00591286" w:rsidRPr="00BB1508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sym w:font="Symbol" w:char="F0B7"/>
            </w:r>
          </w:p>
          <w:p w14:paraId="29DC5614" w14:textId="77777777" w:rsidR="00591286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Team Leadership</w:t>
            </w:r>
            <w:bookmarkEnd w:id="3"/>
          </w:p>
          <w:p w14:paraId="7AB798CF" w14:textId="77777777" w:rsidR="00591286" w:rsidRPr="00672DA7" w:rsidRDefault="00591286" w:rsidP="00591286">
            <w:pPr>
              <w:widowControl w:val="0"/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</w:p>
          <w:p w14:paraId="6E26B877" w14:textId="0CA8FDC8" w:rsidR="00591286" w:rsidRPr="00BB1508" w:rsidRDefault="00591286" w:rsidP="00591286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  <w:t>PERSONAL DOSSIER</w:t>
            </w:r>
          </w:p>
          <w:p w14:paraId="785DDFC6" w14:textId="445E9F52" w:rsidR="00591286" w:rsidRPr="00591286" w:rsidRDefault="00591286" w:rsidP="00591286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59128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Nationality</w:t>
            </w:r>
            <w:r w:rsidRPr="00591286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: Indian</w:t>
            </w:r>
          </w:p>
          <w:p w14:paraId="5BCCE1A3" w14:textId="705F6CE7" w:rsidR="00591286" w:rsidRPr="00591286" w:rsidRDefault="00591286" w:rsidP="00591286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59128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Date of Birth</w:t>
            </w:r>
            <w:r w:rsidRPr="00591286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: 29</w:t>
            </w:r>
            <w:r w:rsidRPr="00591286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  <w:lang w:val="en-GB"/>
              </w:rPr>
              <w:t>th</w:t>
            </w:r>
            <w:r w:rsidRPr="00591286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April 1981</w:t>
            </w:r>
          </w:p>
          <w:p w14:paraId="03D1022A" w14:textId="0DB09DEB" w:rsidR="00591286" w:rsidRPr="00591286" w:rsidRDefault="00591286" w:rsidP="00591286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59128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Passport No</w:t>
            </w:r>
            <w:r w:rsidRPr="00591286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: M 3755365</w:t>
            </w:r>
            <w:r w:rsidR="00C00405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,</w:t>
            </w:r>
            <w:r w:rsidRPr="00591286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valid up to Nov 2024</w:t>
            </w:r>
          </w:p>
          <w:p w14:paraId="4D70B7B9" w14:textId="4A7BA29C" w:rsidR="00591286" w:rsidRPr="00591286" w:rsidRDefault="00591286" w:rsidP="00591286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59128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Driving License</w:t>
            </w:r>
            <w:r w:rsidRPr="00591286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: Indian Driving License</w:t>
            </w:r>
          </w:p>
          <w:p w14:paraId="0A826192" w14:textId="12043152" w:rsidR="00591286" w:rsidRPr="00BB1508" w:rsidRDefault="00591286" w:rsidP="00BB1508">
            <w:pPr>
              <w:widowControl w:val="0"/>
              <w:suppressAutoHyphens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46E5CEBE" w14:textId="77777777" w:rsidR="008E7D57" w:rsidRPr="00BB1508" w:rsidRDefault="008E7D57" w:rsidP="00BB1508">
            <w:pPr>
              <w:widowControl w:val="0"/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4"/>
                <w:szCs w:val="4"/>
              </w:rPr>
            </w:pPr>
          </w:p>
          <w:p w14:paraId="79392B68" w14:textId="715B71CF" w:rsidR="008E7D57" w:rsidRPr="00BB1508" w:rsidRDefault="00E05C0A" w:rsidP="00BB1508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BB1508"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  <w:t>EMPLOYMENT OUTLINE</w:t>
            </w:r>
          </w:p>
          <w:p w14:paraId="07E8AC9F" w14:textId="77777777" w:rsidR="00BB1508" w:rsidRDefault="00BB1508" w:rsidP="00CD37B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B1508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Since Nov 2013: </w:t>
            </w:r>
            <w:bookmarkStart w:id="4" w:name="_Hlk153136263"/>
            <w:r w:rsidRPr="00BB1508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3D Megastructures Pvt. Ltd., Navi Mumbai</w:t>
            </w:r>
          </w:p>
          <w:p w14:paraId="100BBFC0" w14:textId="65AC1612" w:rsidR="00CD37B0" w:rsidRPr="00BB1508" w:rsidRDefault="00CD37B0" w:rsidP="00CD37B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Accounts,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Finance Manager &amp; Admin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  <w:bookmarkEnd w:id="4"/>
          <w:p w14:paraId="332A172E" w14:textId="77777777" w:rsidR="00BB1508" w:rsidRPr="00CD37B0" w:rsidRDefault="00BB1508" w:rsidP="00BB1508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4"/>
                <w:szCs w:val="4"/>
                <w:lang w:val="en-GB"/>
              </w:rPr>
            </w:pPr>
          </w:p>
          <w:p w14:paraId="665C983E" w14:textId="42C67392" w:rsidR="00CD37B0" w:rsidRDefault="00CD37B0" w:rsidP="00BB1508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u w:val="single"/>
                <w:lang w:val="en-GB"/>
              </w:rPr>
              <w:t>Key Deliverables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</w:p>
          <w:p w14:paraId="1D79B113" w14:textId="77777777" w:rsidR="00A35150" w:rsidRPr="00F03181" w:rsidRDefault="00A3515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031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Strategic Planning</w:t>
            </w:r>
            <w:r w:rsidRPr="00F03181">
              <w:rPr>
                <w:rFonts w:ascii="Tahoma" w:hAnsi="Tahoma" w:cs="Tahoma"/>
                <w:color w:val="000000" w:themeColor="text1"/>
                <w:sz w:val="18"/>
                <w:szCs w:val="18"/>
              </w:rPr>
              <w:t>: Evangelize business and financial outlook by formulating and implementing the financial strategies that support the business vision.</w:t>
            </w:r>
          </w:p>
          <w:p w14:paraId="608AF447" w14:textId="77777777" w:rsidR="00A35150" w:rsidRPr="00F03181" w:rsidRDefault="00A3515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031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Finance Management</w:t>
            </w:r>
            <w:r w:rsidRPr="00F0318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: Manage accounting, budgeting, financial systems, internal controls, financial benchmarking, general ledger, and financial analysis. </w:t>
            </w:r>
          </w:p>
          <w:p w14:paraId="4DCA217B" w14:textId="77777777" w:rsidR="00A35150" w:rsidRPr="00F03181" w:rsidRDefault="00A3515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031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Accounting</w:t>
            </w:r>
            <w:r w:rsidRPr="00F0318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031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Operations</w:t>
            </w:r>
            <w:r w:rsidRPr="00F0318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: Record and post the accounting activities, including voucher entries, cash, and bank transactions. </w:t>
            </w:r>
          </w:p>
          <w:p w14:paraId="5E7355C8" w14:textId="77777777" w:rsidR="00A35150" w:rsidRPr="00F03181" w:rsidRDefault="00A3515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031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Financial Statements</w:t>
            </w:r>
            <w:r w:rsidRPr="00F03181">
              <w:rPr>
                <w:rFonts w:ascii="Tahoma" w:hAnsi="Tahoma" w:cs="Tahoma"/>
                <w:color w:val="000000" w:themeColor="text1"/>
                <w:sz w:val="18"/>
                <w:szCs w:val="18"/>
              </w:rPr>
              <w:t>: Prepare and review the yearly and quarterly financial statements according to accounting standards.</w:t>
            </w:r>
          </w:p>
          <w:p w14:paraId="09AEBB4B" w14:textId="77777777" w:rsidR="00A35150" w:rsidRPr="00F03181" w:rsidRDefault="00A3515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031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Tax Obligations</w:t>
            </w:r>
            <w:r w:rsidRPr="00F03181">
              <w:rPr>
                <w:rFonts w:ascii="Tahoma" w:hAnsi="Tahoma" w:cs="Tahoma"/>
                <w:color w:val="000000" w:themeColor="text1"/>
                <w:sz w:val="18"/>
                <w:szCs w:val="18"/>
              </w:rPr>
              <w:t>: Handle the timely and complete processing of internal and external tax reporting and depreciation of the company's tax obligations.</w:t>
            </w:r>
          </w:p>
          <w:p w14:paraId="7287C84F" w14:textId="7A384A17" w:rsidR="00BB1508" w:rsidRPr="00BB1508" w:rsidRDefault="00BB1508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BB1508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Accounting Policies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Ensure adherence to accounting policies, recording financial transactions in compliance with legal requirements. Ensure compliance with accounting policies and statutory requirements and verify financial report accuracy.</w:t>
            </w:r>
          </w:p>
          <w:p w14:paraId="70A8D735" w14:textId="3B5A78A3" w:rsidR="00BB1508" w:rsidRDefault="00BB1508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BB1508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Financial Records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Accountable for reviewing the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financial records for cost reduction and shareholder satisfaction.</w:t>
            </w:r>
          </w:p>
          <w:p w14:paraId="18550DCF" w14:textId="6550DCFA" w:rsidR="00BB1508" w:rsidRDefault="00BB1508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BB1508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Finance Management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Look after the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payables and receivables, manage payments, and maintain tax compliance and reporting.</w:t>
            </w:r>
          </w:p>
          <w:p w14:paraId="2BA4EF6D" w14:textId="16531DF3" w:rsidR="00BB1508" w:rsidRDefault="00BB1508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BB1508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Taxation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: Lead direct and international taxation strategies, including innovative tax planning. Advise on tax implications for mergers and acquisitions.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Guide on withholding tax </w:t>
            </w:r>
            <w:r w:rsidR="00C00405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and 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tax deduction, and stay updated with tax changes.</w:t>
            </w:r>
          </w:p>
          <w:p w14:paraId="78DAE896" w14:textId="54CA92EC" w:rsidR="00CD37B0" w:rsidRPr="00BB1508" w:rsidRDefault="00BB1508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BB1508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Auditing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Implement and monitor financial audits and control systems for performance and budget adherence.</w:t>
            </w:r>
            <w:r w:rsidR="00CD37B0"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Manage audit schedules, coordinate with auditors, and comply with various tax laws.</w:t>
            </w:r>
          </w:p>
          <w:p w14:paraId="47BB4A45" w14:textId="77777777" w:rsidR="00A35150" w:rsidRPr="00CB2C06" w:rsidRDefault="00A3515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CB2C06">
              <w:rPr>
                <w:rFonts w:ascii="Tahoma" w:hAnsi="Tahoma" w:cs="Tahoma"/>
                <w:b/>
                <w:bCs/>
                <w:sz w:val="18"/>
                <w:szCs w:val="20"/>
              </w:rPr>
              <w:t>Budgeting</w:t>
            </w:r>
            <w:r w:rsidRPr="00CB2C06">
              <w:rPr>
                <w:rFonts w:ascii="Tahoma" w:hAnsi="Tahoma" w:cs="Tahoma"/>
                <w:sz w:val="18"/>
                <w:szCs w:val="20"/>
              </w:rPr>
              <w:t xml:space="preserve">: Develop the budgets and </w:t>
            </w:r>
            <w:r>
              <w:rPr>
                <w:rFonts w:ascii="Tahoma" w:hAnsi="Tahoma" w:cs="Tahoma"/>
                <w:sz w:val="18"/>
                <w:szCs w:val="20"/>
              </w:rPr>
              <w:t>produce</w:t>
            </w:r>
            <w:r w:rsidRPr="00CB2C06">
              <w:rPr>
                <w:rFonts w:ascii="Tahoma" w:hAnsi="Tahoma" w:cs="Tahoma"/>
                <w:sz w:val="18"/>
                <w:szCs w:val="20"/>
              </w:rPr>
              <w:t xml:space="preserve"> monthly reports on actual expenditure</w:t>
            </w:r>
            <w:r>
              <w:rPr>
                <w:rFonts w:ascii="Tahoma" w:hAnsi="Tahoma" w:cs="Tahoma"/>
                <w:sz w:val="18"/>
                <w:szCs w:val="20"/>
              </w:rPr>
              <w:t>s</w:t>
            </w:r>
            <w:r w:rsidRPr="00CB2C06">
              <w:rPr>
                <w:rFonts w:ascii="Tahoma" w:hAnsi="Tahoma" w:cs="Tahoma"/>
                <w:sz w:val="18"/>
                <w:szCs w:val="20"/>
              </w:rPr>
              <w:t xml:space="preserve"> to compare with </w:t>
            </w:r>
            <w:r>
              <w:rPr>
                <w:rFonts w:ascii="Tahoma" w:hAnsi="Tahoma" w:cs="Tahoma"/>
                <w:sz w:val="18"/>
                <w:szCs w:val="20"/>
              </w:rPr>
              <w:t xml:space="preserve">a </w:t>
            </w:r>
            <w:r w:rsidRPr="00CB2C06">
              <w:rPr>
                <w:rFonts w:ascii="Tahoma" w:hAnsi="Tahoma" w:cs="Tahoma"/>
                <w:sz w:val="18"/>
                <w:szCs w:val="20"/>
              </w:rPr>
              <w:t>budget.</w:t>
            </w:r>
          </w:p>
          <w:p w14:paraId="771D0D6F" w14:textId="43E047D5" w:rsidR="00A35150" w:rsidRPr="00CB2C06" w:rsidRDefault="00A3515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CB2C06">
              <w:rPr>
                <w:rFonts w:ascii="Tahoma" w:hAnsi="Tahoma" w:cs="Tahoma"/>
                <w:b/>
                <w:bCs/>
                <w:sz w:val="18"/>
                <w:szCs w:val="20"/>
              </w:rPr>
              <w:t>GL Accounting</w:t>
            </w:r>
            <w:r w:rsidRPr="00CB2C06">
              <w:rPr>
                <w:rFonts w:ascii="Tahoma" w:hAnsi="Tahoma" w:cs="Tahoma"/>
                <w:sz w:val="18"/>
                <w:szCs w:val="20"/>
              </w:rPr>
              <w:t>: Develop ledgers and record</w:t>
            </w:r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Pr="00CB2C06">
              <w:rPr>
                <w:rFonts w:ascii="Tahoma" w:hAnsi="Tahoma" w:cs="Tahoma"/>
                <w:sz w:val="18"/>
                <w:szCs w:val="20"/>
              </w:rPr>
              <w:t>the accounts payable, accounts receivable, cash management, fixed assets, purchasing and projects.</w:t>
            </w:r>
          </w:p>
          <w:p w14:paraId="6CC332FE" w14:textId="5E88FF77" w:rsidR="00CD37B0" w:rsidRPr="00BB1508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Financial Closing</w:t>
            </w: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  <w:r w:rsidR="00BB1508"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Facilitate financial closing processes and timely reporting.</w:t>
            </w:r>
            <w:r w:rsidRPr="00BB1508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Streamline the monthly close process and ensure accurate tax payments and filings.</w:t>
            </w:r>
          </w:p>
          <w:p w14:paraId="1DEF785D" w14:textId="69C69B98" w:rsidR="00BB1508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Relationship Management</w:t>
            </w: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: Develop and maintain </w:t>
            </w:r>
            <w:r w:rsidR="00BB1508"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relationships with tax authorities and consultants and handle tax-related legal matters.</w:t>
            </w:r>
          </w:p>
          <w:p w14:paraId="3BC3A428" w14:textId="77777777" w:rsidR="00A35150" w:rsidRPr="00D12872" w:rsidRDefault="00A3515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D12872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 xml:space="preserve">Team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Leadership</w:t>
            </w:r>
            <w:r w:rsidRPr="00D1287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: Provide </w:t>
            </w:r>
            <w:r w:rsidRPr="00F0318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financial</w:t>
            </w:r>
            <w:r w:rsidRPr="00D1287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support, advice, and expertise to maximize value and deliver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direction </w:t>
            </w:r>
            <w:r w:rsidRPr="00D1287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to the finance teams.</w:t>
            </w:r>
          </w:p>
          <w:p w14:paraId="52DDAF0F" w14:textId="77777777" w:rsidR="00CD37B0" w:rsidRPr="00A3515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6"/>
                <w:szCs w:val="6"/>
                <w:lang w:val="en-GB"/>
              </w:rPr>
            </w:pPr>
          </w:p>
          <w:p w14:paraId="6126442A" w14:textId="7593B270" w:rsidR="00CD37B0" w:rsidRDefault="00CD37B0" w:rsidP="00CD37B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Apr 2013 – Oct 2013: Industrial Technology Qatar W.L.L., Doha-Qatar (NBK Group)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as </w:t>
            </w: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Sr. Accountant</w:t>
            </w:r>
          </w:p>
          <w:p w14:paraId="452F7471" w14:textId="77777777" w:rsidR="00CD37B0" w:rsidRPr="00CD37B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4"/>
                <w:szCs w:val="4"/>
                <w:lang w:val="en-GB"/>
              </w:rPr>
            </w:pPr>
          </w:p>
          <w:p w14:paraId="4892FB33" w14:textId="77777777" w:rsidR="00CD37B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u w:val="single"/>
                <w:lang w:val="en-GB"/>
              </w:rPr>
              <w:t>Key Deliverables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</w:p>
          <w:p w14:paraId="68FA9ED5" w14:textId="7A32D944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Oversaw all accounting division responsibilities. Guided and monitored assistants in managing invoicing, receivables, and payables.</w:t>
            </w:r>
          </w:p>
          <w:p w14:paraId="588B5DA4" w14:textId="25B69E12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Liaised with Relationship Managers (RMs) from banks and suppliers for credit facilities, maintaining strong business relationships.</w:t>
            </w:r>
          </w:p>
          <w:p w14:paraId="5542B2A6" w14:textId="6500F979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Coordinated with external auditors for the annual finalization of accounts.</w:t>
            </w:r>
          </w:p>
          <w:p w14:paraId="7ACC77EC" w14:textId="322EE5DB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Handled in-depth the four major financial statements (Income Statement, Balance Sheet, Statement of Changes in Equity, Statement of Cash Flows) and Trial Balance.</w:t>
            </w:r>
          </w:p>
          <w:p w14:paraId="11218EF9" w14:textId="346B95D0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Implemented control measures and policies to mitigate risks and enhance efficiency.</w:t>
            </w:r>
          </w:p>
          <w:p w14:paraId="4F76B235" w14:textId="7F124432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Conducted financial feasibility studies and advised the CEO.</w:t>
            </w:r>
          </w:p>
          <w:p w14:paraId="5F07E119" w14:textId="39EAEF31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Managed fixed assets, calculated depreciation using the </w:t>
            </w:r>
            <w:proofErr w:type="gramStart"/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Straight Line</w:t>
            </w:r>
            <w:proofErr w:type="gramEnd"/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method, and handled disposals and book values.</w:t>
            </w:r>
          </w:p>
          <w:p w14:paraId="4C5376F7" w14:textId="5C7FDE46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Guided and monitored inventory control and accounted for allowances for bad debts, obsolete inventory, and audit fees.</w:t>
            </w:r>
          </w:p>
          <w:p w14:paraId="3907B760" w14:textId="643EB670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Accounted for indemnity, leave salary provisions, ticket allowances, and bonuses.</w:t>
            </w:r>
          </w:p>
          <w:p w14:paraId="7812A8F3" w14:textId="38FF1FB0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lastRenderedPageBreak/>
              <w:t>Represented and managed ISO 9001 surveillance audits annually.</w:t>
            </w:r>
          </w:p>
          <w:p w14:paraId="7EE872A0" w14:textId="41E06450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Encouraged and supported coworkers in achieving company goals.</w:t>
            </w:r>
          </w:p>
          <w:p w14:paraId="36826A2C" w14:textId="10E55733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Trained the team on accounting practices and ERP software.</w:t>
            </w:r>
          </w:p>
          <w:p w14:paraId="442FF22D" w14:textId="44E509DA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Acted as the ERP super user, managing user access and data security.</w:t>
            </w:r>
          </w:p>
          <w:p w14:paraId="7E6A7A2A" w14:textId="5DB8626C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Finalized monthly payroll and verified reconciliations of suppliers’/vendors’ ledgers before approving payments.</w:t>
            </w:r>
          </w:p>
          <w:p w14:paraId="49ECF291" w14:textId="1F84C954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Assisted in preparing ISO Internal Procedures. Acted as a custodian of major financial instruments and focused on cost-effective strategies.</w:t>
            </w:r>
          </w:p>
          <w:p w14:paraId="33F3F256" w14:textId="584FB0C3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Scrutinized ledgers, resolved issues, and contributed to company goals.</w:t>
            </w:r>
          </w:p>
          <w:p w14:paraId="30BF0B7E" w14:textId="3066B7E6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Managed post-dated checks, cash deposits, prepayments, depreciation, provisions, and allowances. Compiled, analyzed, and disseminated critical financial data.</w:t>
            </w:r>
          </w:p>
          <w:p w14:paraId="0AC014A9" w14:textId="1FCCBFCE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Approved petty cash reimbursements and made timely decisions as needed.</w:t>
            </w:r>
          </w:p>
          <w:p w14:paraId="2BCFD866" w14:textId="4BA6F20C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Utilized advanced Excel tools for Management Information Systems (MIS) and reporting.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</w:t>
            </w: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Recognized revenue, classified it, and created ag</w:t>
            </w:r>
            <w:r w:rsidR="00C00405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e</w:t>
            </w: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ing schedules for debtors and creditors, including cash flow projections.</w:t>
            </w:r>
          </w:p>
          <w:p w14:paraId="1482DBB9" w14:textId="06F28464" w:rsid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Performed trend and vertical analysis of financial statements for forecasting.</w:t>
            </w:r>
          </w:p>
          <w:p w14:paraId="31624004" w14:textId="77777777" w:rsidR="00CD37B0" w:rsidRPr="00A3515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6"/>
                <w:szCs w:val="6"/>
                <w:lang w:val="en-GB"/>
              </w:rPr>
            </w:pPr>
          </w:p>
          <w:p w14:paraId="477D1D62" w14:textId="77777777" w:rsidR="00CD37B0" w:rsidRPr="00CD37B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Oct 2012 – Mar 2013: Siddhivinayak Infrasystems Pvt. Ltd., Navi Mumbai </w:t>
            </w:r>
          </w:p>
          <w:p w14:paraId="175EBBD6" w14:textId="4A94BF56" w:rsidR="00CD37B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Manager Accounts &amp; Finance</w:t>
            </w:r>
          </w:p>
          <w:p w14:paraId="2E865A4D" w14:textId="77777777" w:rsidR="00CD37B0" w:rsidRPr="00CD37B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4"/>
                <w:szCs w:val="4"/>
                <w:lang w:val="en-GB"/>
              </w:rPr>
            </w:pPr>
          </w:p>
          <w:p w14:paraId="6BE5A98E" w14:textId="29B096E6" w:rsidR="00CD37B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u w:val="single"/>
                <w:lang w:val="en-GB"/>
              </w:rPr>
              <w:t>Key Deliverables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</w:p>
          <w:p w14:paraId="6C38B669" w14:textId="7AE706E7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Oversaw the development and implementation of long-term financial strategies to maximize profits and reduce costs.</w:t>
            </w:r>
          </w:p>
          <w:p w14:paraId="5962D98F" w14:textId="1B99EB5D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Ensured timely and accurate financial reporting, including balance sheets, income statements, and cash flow statements.</w:t>
            </w:r>
          </w:p>
          <w:p w14:paraId="213BB20B" w14:textId="510A84EA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Directed the preparation of annual budgets and financial forecasts, comparing actual results with projections regularly.</w:t>
            </w:r>
          </w:p>
          <w:p w14:paraId="0A695866" w14:textId="165EE1D6" w:rsidR="00CD37B0" w:rsidRP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Coordinated with internal and external auditors to facilitate audits and ensure compliance with financial regulations and standards.</w:t>
            </w:r>
          </w:p>
          <w:p w14:paraId="006F2427" w14:textId="7E3D7282" w:rsid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Supervised the accounts payable and receivable teams, ensuring efficient processing of transactions and maintaining healthy cash flow.</w:t>
            </w:r>
          </w:p>
          <w:p w14:paraId="15EB6FB4" w14:textId="1060E046" w:rsidR="00CD37B0" w:rsidRDefault="00CD37B0" w:rsidP="00A3515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Held accountable for supervising the</w:t>
            </w: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tax planning and compliance activities,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complying with</w:t>
            </w: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tax laws and regulations.</w:t>
            </w:r>
          </w:p>
          <w:p w14:paraId="65D21867" w14:textId="77777777" w:rsidR="00A35150" w:rsidRPr="00A35150" w:rsidRDefault="00A35150" w:rsidP="00A3515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</w:p>
          <w:p w14:paraId="10ABEE6F" w14:textId="2326FCB9" w:rsidR="00A35150" w:rsidRPr="00BB1508" w:rsidRDefault="00A35150" w:rsidP="00A35150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pacing w:val="20"/>
                <w:sz w:val="24"/>
                <w:szCs w:val="24"/>
              </w:rPr>
              <w:t>PRIOR WORK HISTORY</w:t>
            </w:r>
          </w:p>
          <w:p w14:paraId="5F081770" w14:textId="29E0573F" w:rsidR="00CD37B0" w:rsidRPr="00CD37B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Dec 2008 – Sept 2012: </w:t>
            </w:r>
            <w:proofErr w:type="spellStart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Revmax</w:t>
            </w:r>
            <w:proofErr w:type="spellEnd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 Telecom Infrastructure </w:t>
            </w:r>
            <w:proofErr w:type="spellStart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Pvt.</w:t>
            </w:r>
            <w:proofErr w:type="spellEnd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 Ltd., Navi Mumbai as Asst. Manager Accounts &amp; Finance</w:t>
            </w:r>
          </w:p>
          <w:p w14:paraId="289A84E7" w14:textId="77777777" w:rsidR="00CD37B0" w:rsidRPr="00CD37B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4"/>
                <w:szCs w:val="4"/>
                <w:lang w:val="en-GB"/>
              </w:rPr>
            </w:pPr>
          </w:p>
          <w:p w14:paraId="769011E3" w14:textId="6F6B5B1F" w:rsidR="00CD37B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Client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Airtel, Vodafone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>,</w:t>
            </w: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Reliance, Idea, Tata Communication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&amp;</w:t>
            </w:r>
            <w:r w:rsidRPr="00CD37B0"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  <w:t xml:space="preserve"> Tata Teleservices</w:t>
            </w:r>
          </w:p>
          <w:p w14:paraId="2D9F57AC" w14:textId="77777777" w:rsidR="00CD37B0" w:rsidRPr="00A3515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6"/>
                <w:szCs w:val="6"/>
                <w:lang w:val="en-GB"/>
              </w:rPr>
            </w:pPr>
          </w:p>
          <w:p w14:paraId="0ED677C1" w14:textId="27DC21BA" w:rsidR="00CD37B0" w:rsidRPr="00CD37B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Sept 2005 – 2008: Al Mansoor International Co LLC, Muscat – Oman (Al </w:t>
            </w:r>
            <w:proofErr w:type="spellStart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Sulaimi</w:t>
            </w:r>
            <w:proofErr w:type="spellEnd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 Group) as Sr. Accountant</w:t>
            </w:r>
          </w:p>
          <w:p w14:paraId="72FB328A" w14:textId="77777777" w:rsidR="00BB1508" w:rsidRPr="00A35150" w:rsidRDefault="00BB1508" w:rsidP="00BB1508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6"/>
                <w:szCs w:val="6"/>
                <w:lang w:val="en-GB"/>
              </w:rPr>
            </w:pPr>
          </w:p>
          <w:p w14:paraId="36F44386" w14:textId="77777777" w:rsidR="00A3515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Jul 2003 – Aug 2005: </w:t>
            </w:r>
            <w:proofErr w:type="spellStart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Revmax</w:t>
            </w:r>
            <w:proofErr w:type="spellEnd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 InfoTech, Andheri, Mumbai </w:t>
            </w:r>
          </w:p>
          <w:p w14:paraId="3666C2F8" w14:textId="623218F4" w:rsidR="00CD37B0" w:rsidRPr="00CD37B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Accounts In-Charge</w:t>
            </w:r>
          </w:p>
          <w:p w14:paraId="2A3E91C4" w14:textId="77777777" w:rsidR="00CD37B0" w:rsidRPr="00A3515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6"/>
                <w:szCs w:val="6"/>
                <w:lang w:val="en-GB"/>
              </w:rPr>
            </w:pPr>
          </w:p>
          <w:p w14:paraId="01B9296D" w14:textId="77777777" w:rsidR="00A3515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Jul 2001 – Jun 2003: C.V. Vaidya &amp; Associates, </w:t>
            </w:r>
            <w:proofErr w:type="spellStart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>Khed</w:t>
            </w:r>
            <w:proofErr w:type="spellEnd"/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, Ratnagiri </w:t>
            </w:r>
          </w:p>
          <w:p w14:paraId="321E4684" w14:textId="5109D83B" w:rsidR="00CD37B0" w:rsidRDefault="00CD37B0" w:rsidP="00A35150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D37B0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Accounts &amp; Audit Assistant </w:t>
            </w:r>
          </w:p>
          <w:p w14:paraId="370082BA" w14:textId="77777777" w:rsidR="00CD37B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107343B1" w14:textId="77777777" w:rsidR="00CD37B0" w:rsidRPr="00CD37B0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443BAB81" w14:textId="21A4A071" w:rsidR="00CD37B0" w:rsidRPr="00BB1508" w:rsidRDefault="00CD37B0" w:rsidP="00CD37B0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227668D4" w14:textId="77777777" w:rsidR="00597FF4" w:rsidRPr="00BB1508" w:rsidRDefault="00597FF4" w:rsidP="00BB1508">
      <w:pPr>
        <w:spacing w:after="0" w:line="276" w:lineRule="auto"/>
        <w:rPr>
          <w:rFonts w:ascii="Tahoma" w:hAnsi="Tahoma" w:cs="Tahoma"/>
          <w:color w:val="000000" w:themeColor="text1"/>
          <w:sz w:val="10"/>
          <w:szCs w:val="10"/>
        </w:rPr>
      </w:pPr>
    </w:p>
    <w:sectPr w:rsidR="00597FF4" w:rsidRPr="00BB1508" w:rsidSect="00283BF2">
      <w:type w:val="continuous"/>
      <w:pgSz w:w="12240" w:h="15840" w:code="1"/>
      <w:pgMar w:top="142" w:right="720" w:bottom="0" w:left="720" w:header="709" w:footer="709" w:gutter="0"/>
      <w:pgBorders w:offsetFrom="page"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gBorders>
      <w:cols w:space="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E611B" w14:textId="77777777" w:rsidR="003A70A7" w:rsidRDefault="003A70A7" w:rsidP="00EF5B9C">
      <w:pPr>
        <w:spacing w:after="0" w:line="240" w:lineRule="auto"/>
      </w:pPr>
      <w:r>
        <w:separator/>
      </w:r>
    </w:p>
  </w:endnote>
  <w:endnote w:type="continuationSeparator" w:id="0">
    <w:p w14:paraId="50EC144F" w14:textId="77777777" w:rsidR="003A70A7" w:rsidRDefault="003A70A7" w:rsidP="00EF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DF53" w14:textId="77777777" w:rsidR="003A70A7" w:rsidRDefault="003A70A7" w:rsidP="00EF5B9C">
      <w:pPr>
        <w:spacing w:after="0" w:line="240" w:lineRule="auto"/>
      </w:pPr>
      <w:r>
        <w:separator/>
      </w:r>
    </w:p>
  </w:footnote>
  <w:footnote w:type="continuationSeparator" w:id="0">
    <w:p w14:paraId="491A79FF" w14:textId="77777777" w:rsidR="003A70A7" w:rsidRDefault="003A70A7" w:rsidP="00EF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ullet-grey"/>
      </v:shape>
    </w:pict>
  </w:numPicBullet>
  <w:abstractNum w:abstractNumId="0" w15:restartNumberingAfterBreak="0">
    <w:nsid w:val="099137D7"/>
    <w:multiLevelType w:val="hybridMultilevel"/>
    <w:tmpl w:val="E848A3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3287B"/>
    <w:multiLevelType w:val="hybridMultilevel"/>
    <w:tmpl w:val="5532F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6918"/>
    <w:multiLevelType w:val="hybridMultilevel"/>
    <w:tmpl w:val="1ABACD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36C38"/>
    <w:multiLevelType w:val="hybridMultilevel"/>
    <w:tmpl w:val="BE7643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831F1"/>
    <w:multiLevelType w:val="multilevel"/>
    <w:tmpl w:val="D3D4139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E652D77"/>
    <w:multiLevelType w:val="hybridMultilevel"/>
    <w:tmpl w:val="B8BEC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3124"/>
    <w:multiLevelType w:val="hybridMultilevel"/>
    <w:tmpl w:val="5FCC6EBC"/>
    <w:lvl w:ilvl="0" w:tplc="7BE46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E6B4A"/>
    <w:multiLevelType w:val="hybridMultilevel"/>
    <w:tmpl w:val="98964B7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55ED"/>
    <w:multiLevelType w:val="hybridMultilevel"/>
    <w:tmpl w:val="71E606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A102D"/>
    <w:multiLevelType w:val="hybridMultilevel"/>
    <w:tmpl w:val="1EB8F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4B47"/>
    <w:multiLevelType w:val="hybridMultilevel"/>
    <w:tmpl w:val="B81460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2034A"/>
    <w:multiLevelType w:val="hybridMultilevel"/>
    <w:tmpl w:val="DC8A21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3B1B52"/>
    <w:multiLevelType w:val="hybridMultilevel"/>
    <w:tmpl w:val="C3EE269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5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1F2E69"/>
    <w:multiLevelType w:val="hybridMultilevel"/>
    <w:tmpl w:val="F80216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D768C"/>
    <w:multiLevelType w:val="hybridMultilevel"/>
    <w:tmpl w:val="9092C6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72B944">
      <w:start w:val="15"/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F14A7D"/>
    <w:multiLevelType w:val="hybridMultilevel"/>
    <w:tmpl w:val="E03CE22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57E1B"/>
    <w:multiLevelType w:val="multilevel"/>
    <w:tmpl w:val="29A6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7C4729"/>
    <w:multiLevelType w:val="hybridMultilevel"/>
    <w:tmpl w:val="79FAD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F75E2A"/>
    <w:multiLevelType w:val="hybridMultilevel"/>
    <w:tmpl w:val="5366F3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5"/>
  </w:num>
  <w:num w:numId="6">
    <w:abstractNumId w:val="11"/>
  </w:num>
  <w:num w:numId="7">
    <w:abstractNumId w:val="16"/>
  </w:num>
  <w:num w:numId="8">
    <w:abstractNumId w:val="7"/>
  </w:num>
  <w:num w:numId="9">
    <w:abstractNumId w:val="15"/>
  </w:num>
  <w:num w:numId="10">
    <w:abstractNumId w:val="14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10"/>
  </w:num>
  <w:num w:numId="16">
    <w:abstractNumId w:val="4"/>
  </w:num>
  <w:num w:numId="17">
    <w:abstractNumId w:val="6"/>
  </w:num>
  <w:num w:numId="18">
    <w:abstractNumId w:val="12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NzawNDY3NjYyNTJW0lEKTi0uzszPAykwNKwFAKGA7K4tAAAA"/>
  </w:docVars>
  <w:rsids>
    <w:rsidRoot w:val="00ED749B"/>
    <w:rsid w:val="00003C1F"/>
    <w:rsid w:val="00007B84"/>
    <w:rsid w:val="000245E7"/>
    <w:rsid w:val="000257B4"/>
    <w:rsid w:val="00026409"/>
    <w:rsid w:val="0004707C"/>
    <w:rsid w:val="00050036"/>
    <w:rsid w:val="00054CD4"/>
    <w:rsid w:val="000558F5"/>
    <w:rsid w:val="00056EEB"/>
    <w:rsid w:val="00060446"/>
    <w:rsid w:val="000744A0"/>
    <w:rsid w:val="00076E8A"/>
    <w:rsid w:val="0009522E"/>
    <w:rsid w:val="00097750"/>
    <w:rsid w:val="000A0E29"/>
    <w:rsid w:val="000A6AE2"/>
    <w:rsid w:val="000B1FFE"/>
    <w:rsid w:val="000C3621"/>
    <w:rsid w:val="000C6A52"/>
    <w:rsid w:val="000D05BD"/>
    <w:rsid w:val="000D368A"/>
    <w:rsid w:val="000D653F"/>
    <w:rsid w:val="000D7C8B"/>
    <w:rsid w:val="000E11AF"/>
    <w:rsid w:val="000E39A5"/>
    <w:rsid w:val="000E3DE5"/>
    <w:rsid w:val="000F15C4"/>
    <w:rsid w:val="000F4273"/>
    <w:rsid w:val="000F4DF3"/>
    <w:rsid w:val="001041A7"/>
    <w:rsid w:val="00105DAD"/>
    <w:rsid w:val="00125135"/>
    <w:rsid w:val="00147AD6"/>
    <w:rsid w:val="00155192"/>
    <w:rsid w:val="00157885"/>
    <w:rsid w:val="00163850"/>
    <w:rsid w:val="001638F7"/>
    <w:rsid w:val="0017247C"/>
    <w:rsid w:val="0017754D"/>
    <w:rsid w:val="00183809"/>
    <w:rsid w:val="001A0007"/>
    <w:rsid w:val="001A1208"/>
    <w:rsid w:val="001A5A4F"/>
    <w:rsid w:val="001A5B0B"/>
    <w:rsid w:val="001A725F"/>
    <w:rsid w:val="001A7653"/>
    <w:rsid w:val="001B08BB"/>
    <w:rsid w:val="001B092D"/>
    <w:rsid w:val="001B2686"/>
    <w:rsid w:val="001B3A3E"/>
    <w:rsid w:val="001B50B1"/>
    <w:rsid w:val="001C0C7A"/>
    <w:rsid w:val="001C2139"/>
    <w:rsid w:val="001C21B4"/>
    <w:rsid w:val="001C3376"/>
    <w:rsid w:val="001D17DA"/>
    <w:rsid w:val="001E4252"/>
    <w:rsid w:val="001F3F51"/>
    <w:rsid w:val="00204A24"/>
    <w:rsid w:val="00211915"/>
    <w:rsid w:val="00226C1F"/>
    <w:rsid w:val="00227A42"/>
    <w:rsid w:val="00231C31"/>
    <w:rsid w:val="0024190E"/>
    <w:rsid w:val="00243C01"/>
    <w:rsid w:val="00244FF6"/>
    <w:rsid w:val="00250D72"/>
    <w:rsid w:val="00253F26"/>
    <w:rsid w:val="002540CF"/>
    <w:rsid w:val="002556C6"/>
    <w:rsid w:val="00266512"/>
    <w:rsid w:val="0026716A"/>
    <w:rsid w:val="00271E8F"/>
    <w:rsid w:val="00283BF2"/>
    <w:rsid w:val="00283C0C"/>
    <w:rsid w:val="0029222A"/>
    <w:rsid w:val="0029431D"/>
    <w:rsid w:val="00295F37"/>
    <w:rsid w:val="002B0A79"/>
    <w:rsid w:val="002D151D"/>
    <w:rsid w:val="002D38A0"/>
    <w:rsid w:val="002D6515"/>
    <w:rsid w:val="002E72DF"/>
    <w:rsid w:val="002E756C"/>
    <w:rsid w:val="002F538B"/>
    <w:rsid w:val="00311AA9"/>
    <w:rsid w:val="00335A6E"/>
    <w:rsid w:val="00336043"/>
    <w:rsid w:val="00345C8D"/>
    <w:rsid w:val="00351519"/>
    <w:rsid w:val="0035533D"/>
    <w:rsid w:val="00355B19"/>
    <w:rsid w:val="003574D8"/>
    <w:rsid w:val="00365883"/>
    <w:rsid w:val="003665F5"/>
    <w:rsid w:val="003676BD"/>
    <w:rsid w:val="003679D5"/>
    <w:rsid w:val="00385F91"/>
    <w:rsid w:val="00392127"/>
    <w:rsid w:val="003959C4"/>
    <w:rsid w:val="003A1513"/>
    <w:rsid w:val="003A70A7"/>
    <w:rsid w:val="003A78BF"/>
    <w:rsid w:val="003C306D"/>
    <w:rsid w:val="003D0887"/>
    <w:rsid w:val="003E0140"/>
    <w:rsid w:val="003E528E"/>
    <w:rsid w:val="003E6A8D"/>
    <w:rsid w:val="003F0683"/>
    <w:rsid w:val="0040017E"/>
    <w:rsid w:val="00404AA0"/>
    <w:rsid w:val="00417707"/>
    <w:rsid w:val="00422B73"/>
    <w:rsid w:val="00431261"/>
    <w:rsid w:val="0045067C"/>
    <w:rsid w:val="00451162"/>
    <w:rsid w:val="00473543"/>
    <w:rsid w:val="0047459B"/>
    <w:rsid w:val="00485B55"/>
    <w:rsid w:val="004949CC"/>
    <w:rsid w:val="00495D7D"/>
    <w:rsid w:val="004A3876"/>
    <w:rsid w:val="004A40A8"/>
    <w:rsid w:val="004A5CBB"/>
    <w:rsid w:val="004A7011"/>
    <w:rsid w:val="004C0EBC"/>
    <w:rsid w:val="004C591C"/>
    <w:rsid w:val="004D2D32"/>
    <w:rsid w:val="004E1F68"/>
    <w:rsid w:val="004E25C6"/>
    <w:rsid w:val="004E4129"/>
    <w:rsid w:val="004F1B14"/>
    <w:rsid w:val="004F5009"/>
    <w:rsid w:val="004F7948"/>
    <w:rsid w:val="00505419"/>
    <w:rsid w:val="0051104A"/>
    <w:rsid w:val="00522D9C"/>
    <w:rsid w:val="005247CD"/>
    <w:rsid w:val="00525AD8"/>
    <w:rsid w:val="0052758F"/>
    <w:rsid w:val="00543DD7"/>
    <w:rsid w:val="005441E1"/>
    <w:rsid w:val="00544D16"/>
    <w:rsid w:val="005475F5"/>
    <w:rsid w:val="00552318"/>
    <w:rsid w:val="00567ADD"/>
    <w:rsid w:val="00567CB1"/>
    <w:rsid w:val="00581793"/>
    <w:rsid w:val="0058359E"/>
    <w:rsid w:val="00591286"/>
    <w:rsid w:val="00591609"/>
    <w:rsid w:val="00597FF4"/>
    <w:rsid w:val="005A000C"/>
    <w:rsid w:val="005A7129"/>
    <w:rsid w:val="005B1A81"/>
    <w:rsid w:val="005B4CD1"/>
    <w:rsid w:val="005B7C43"/>
    <w:rsid w:val="005C5452"/>
    <w:rsid w:val="005C5AAE"/>
    <w:rsid w:val="005C63EB"/>
    <w:rsid w:val="005D4742"/>
    <w:rsid w:val="005D5E70"/>
    <w:rsid w:val="005E614D"/>
    <w:rsid w:val="005F4AA8"/>
    <w:rsid w:val="005F4C4E"/>
    <w:rsid w:val="00610CD4"/>
    <w:rsid w:val="00612947"/>
    <w:rsid w:val="00624793"/>
    <w:rsid w:val="00627A7E"/>
    <w:rsid w:val="00635539"/>
    <w:rsid w:val="006418B3"/>
    <w:rsid w:val="00643556"/>
    <w:rsid w:val="00665AEB"/>
    <w:rsid w:val="00672DA7"/>
    <w:rsid w:val="0067410C"/>
    <w:rsid w:val="00681DF6"/>
    <w:rsid w:val="00683864"/>
    <w:rsid w:val="00685E75"/>
    <w:rsid w:val="00690450"/>
    <w:rsid w:val="006B5413"/>
    <w:rsid w:val="006C6B96"/>
    <w:rsid w:val="006C7B5A"/>
    <w:rsid w:val="006D48DC"/>
    <w:rsid w:val="006E317C"/>
    <w:rsid w:val="006E58C1"/>
    <w:rsid w:val="006F3F56"/>
    <w:rsid w:val="006F626C"/>
    <w:rsid w:val="006F7174"/>
    <w:rsid w:val="006F7FD4"/>
    <w:rsid w:val="00737768"/>
    <w:rsid w:val="00741322"/>
    <w:rsid w:val="00741F4D"/>
    <w:rsid w:val="0074336C"/>
    <w:rsid w:val="00744E93"/>
    <w:rsid w:val="0075419A"/>
    <w:rsid w:val="007633B1"/>
    <w:rsid w:val="00766486"/>
    <w:rsid w:val="007664AD"/>
    <w:rsid w:val="00767726"/>
    <w:rsid w:val="007857D5"/>
    <w:rsid w:val="00785DDB"/>
    <w:rsid w:val="007934EE"/>
    <w:rsid w:val="007A0E99"/>
    <w:rsid w:val="007B54F1"/>
    <w:rsid w:val="007B7556"/>
    <w:rsid w:val="007D1BD8"/>
    <w:rsid w:val="007E3267"/>
    <w:rsid w:val="007E407C"/>
    <w:rsid w:val="00805199"/>
    <w:rsid w:val="00806A5F"/>
    <w:rsid w:val="00812CBD"/>
    <w:rsid w:val="00817783"/>
    <w:rsid w:val="00817B4C"/>
    <w:rsid w:val="00820C07"/>
    <w:rsid w:val="00821998"/>
    <w:rsid w:val="00824EEC"/>
    <w:rsid w:val="0082707A"/>
    <w:rsid w:val="00827BD4"/>
    <w:rsid w:val="00833449"/>
    <w:rsid w:val="008345AF"/>
    <w:rsid w:val="0083642C"/>
    <w:rsid w:val="0084300B"/>
    <w:rsid w:val="008439C4"/>
    <w:rsid w:val="008532A4"/>
    <w:rsid w:val="00856654"/>
    <w:rsid w:val="00861350"/>
    <w:rsid w:val="00866AEE"/>
    <w:rsid w:val="00867AD9"/>
    <w:rsid w:val="00870286"/>
    <w:rsid w:val="008709AF"/>
    <w:rsid w:val="0088005A"/>
    <w:rsid w:val="00884264"/>
    <w:rsid w:val="00885FC2"/>
    <w:rsid w:val="00893F50"/>
    <w:rsid w:val="00895D1F"/>
    <w:rsid w:val="008A322F"/>
    <w:rsid w:val="008A54F1"/>
    <w:rsid w:val="008A7056"/>
    <w:rsid w:val="008A783B"/>
    <w:rsid w:val="008C1994"/>
    <w:rsid w:val="008C51AA"/>
    <w:rsid w:val="008D52EA"/>
    <w:rsid w:val="008D6598"/>
    <w:rsid w:val="008E44C6"/>
    <w:rsid w:val="008E7D57"/>
    <w:rsid w:val="008F1A27"/>
    <w:rsid w:val="008F3EDA"/>
    <w:rsid w:val="00913CC6"/>
    <w:rsid w:val="00916C70"/>
    <w:rsid w:val="00920BF4"/>
    <w:rsid w:val="00920D42"/>
    <w:rsid w:val="009232E5"/>
    <w:rsid w:val="00923BA6"/>
    <w:rsid w:val="00924BA7"/>
    <w:rsid w:val="00930CB2"/>
    <w:rsid w:val="00943792"/>
    <w:rsid w:val="009439C0"/>
    <w:rsid w:val="00944AD5"/>
    <w:rsid w:val="00946FC7"/>
    <w:rsid w:val="009509B6"/>
    <w:rsid w:val="00953AC4"/>
    <w:rsid w:val="00955493"/>
    <w:rsid w:val="00956EB8"/>
    <w:rsid w:val="00964641"/>
    <w:rsid w:val="0096783D"/>
    <w:rsid w:val="00970DDE"/>
    <w:rsid w:val="009735D8"/>
    <w:rsid w:val="00974239"/>
    <w:rsid w:val="009767DC"/>
    <w:rsid w:val="00981C24"/>
    <w:rsid w:val="00983CDC"/>
    <w:rsid w:val="00986D03"/>
    <w:rsid w:val="009A117E"/>
    <w:rsid w:val="009A1CFE"/>
    <w:rsid w:val="009A5604"/>
    <w:rsid w:val="009B2A0B"/>
    <w:rsid w:val="009C044C"/>
    <w:rsid w:val="009C3EBF"/>
    <w:rsid w:val="009C4F57"/>
    <w:rsid w:val="009C6BF1"/>
    <w:rsid w:val="009D0E0A"/>
    <w:rsid w:val="009D130E"/>
    <w:rsid w:val="009D2A5B"/>
    <w:rsid w:val="009F00E1"/>
    <w:rsid w:val="009F5F13"/>
    <w:rsid w:val="00A03019"/>
    <w:rsid w:val="00A06EC6"/>
    <w:rsid w:val="00A10119"/>
    <w:rsid w:val="00A16348"/>
    <w:rsid w:val="00A21C0E"/>
    <w:rsid w:val="00A27E45"/>
    <w:rsid w:val="00A319B1"/>
    <w:rsid w:val="00A35150"/>
    <w:rsid w:val="00A36F80"/>
    <w:rsid w:val="00A374A1"/>
    <w:rsid w:val="00A378A0"/>
    <w:rsid w:val="00A435B7"/>
    <w:rsid w:val="00A46B31"/>
    <w:rsid w:val="00A470FF"/>
    <w:rsid w:val="00A56E93"/>
    <w:rsid w:val="00A57AE3"/>
    <w:rsid w:val="00A60EDC"/>
    <w:rsid w:val="00A61521"/>
    <w:rsid w:val="00A620AE"/>
    <w:rsid w:val="00A65C03"/>
    <w:rsid w:val="00A7040E"/>
    <w:rsid w:val="00A75FED"/>
    <w:rsid w:val="00A77214"/>
    <w:rsid w:val="00A8591D"/>
    <w:rsid w:val="00A935A3"/>
    <w:rsid w:val="00A960AB"/>
    <w:rsid w:val="00A96F29"/>
    <w:rsid w:val="00AA138A"/>
    <w:rsid w:val="00AA1858"/>
    <w:rsid w:val="00AA36E2"/>
    <w:rsid w:val="00AB7A3D"/>
    <w:rsid w:val="00AC1380"/>
    <w:rsid w:val="00AC300F"/>
    <w:rsid w:val="00AD054D"/>
    <w:rsid w:val="00AD1B0B"/>
    <w:rsid w:val="00AD5F9A"/>
    <w:rsid w:val="00AE1E1F"/>
    <w:rsid w:val="00AE2D2E"/>
    <w:rsid w:val="00AE36A7"/>
    <w:rsid w:val="00AE41D3"/>
    <w:rsid w:val="00AE57B7"/>
    <w:rsid w:val="00AE6C2D"/>
    <w:rsid w:val="00AE73FA"/>
    <w:rsid w:val="00AF449F"/>
    <w:rsid w:val="00AF4DC3"/>
    <w:rsid w:val="00AF6648"/>
    <w:rsid w:val="00B019F9"/>
    <w:rsid w:val="00B11ABC"/>
    <w:rsid w:val="00B124D5"/>
    <w:rsid w:val="00B13EF5"/>
    <w:rsid w:val="00B175EE"/>
    <w:rsid w:val="00B17CE6"/>
    <w:rsid w:val="00B22F58"/>
    <w:rsid w:val="00B30145"/>
    <w:rsid w:val="00B30831"/>
    <w:rsid w:val="00B32260"/>
    <w:rsid w:val="00B332D8"/>
    <w:rsid w:val="00B33882"/>
    <w:rsid w:val="00B477B3"/>
    <w:rsid w:val="00B47C91"/>
    <w:rsid w:val="00B76660"/>
    <w:rsid w:val="00B82CF5"/>
    <w:rsid w:val="00B83962"/>
    <w:rsid w:val="00B910B8"/>
    <w:rsid w:val="00BB1508"/>
    <w:rsid w:val="00BC51ED"/>
    <w:rsid w:val="00BC5723"/>
    <w:rsid w:val="00BD050F"/>
    <w:rsid w:val="00BD675A"/>
    <w:rsid w:val="00BD7244"/>
    <w:rsid w:val="00BE1043"/>
    <w:rsid w:val="00BE706B"/>
    <w:rsid w:val="00BE7F5B"/>
    <w:rsid w:val="00BF01CF"/>
    <w:rsid w:val="00C00405"/>
    <w:rsid w:val="00C00BA3"/>
    <w:rsid w:val="00C04CF9"/>
    <w:rsid w:val="00C10E80"/>
    <w:rsid w:val="00C12FF8"/>
    <w:rsid w:val="00C1477E"/>
    <w:rsid w:val="00C155C1"/>
    <w:rsid w:val="00C15CB8"/>
    <w:rsid w:val="00C16026"/>
    <w:rsid w:val="00C26A6A"/>
    <w:rsid w:val="00C40868"/>
    <w:rsid w:val="00C46283"/>
    <w:rsid w:val="00C46BD0"/>
    <w:rsid w:val="00C471C9"/>
    <w:rsid w:val="00C540C4"/>
    <w:rsid w:val="00C56C5F"/>
    <w:rsid w:val="00C64D5B"/>
    <w:rsid w:val="00C74B37"/>
    <w:rsid w:val="00C75E47"/>
    <w:rsid w:val="00C80AE1"/>
    <w:rsid w:val="00C82A07"/>
    <w:rsid w:val="00C976C5"/>
    <w:rsid w:val="00CA38B4"/>
    <w:rsid w:val="00CA3B1E"/>
    <w:rsid w:val="00CA3E71"/>
    <w:rsid w:val="00CA6FD1"/>
    <w:rsid w:val="00CB0B32"/>
    <w:rsid w:val="00CB7F23"/>
    <w:rsid w:val="00CD37B0"/>
    <w:rsid w:val="00CD7AE2"/>
    <w:rsid w:val="00CE093D"/>
    <w:rsid w:val="00CE0A30"/>
    <w:rsid w:val="00CE0F4E"/>
    <w:rsid w:val="00CE2DE0"/>
    <w:rsid w:val="00CE500C"/>
    <w:rsid w:val="00CE5CED"/>
    <w:rsid w:val="00CF0A3B"/>
    <w:rsid w:val="00D03122"/>
    <w:rsid w:val="00D04BF4"/>
    <w:rsid w:val="00D16928"/>
    <w:rsid w:val="00D16BFE"/>
    <w:rsid w:val="00D21863"/>
    <w:rsid w:val="00D31169"/>
    <w:rsid w:val="00D35287"/>
    <w:rsid w:val="00D35F81"/>
    <w:rsid w:val="00D3711E"/>
    <w:rsid w:val="00D44F06"/>
    <w:rsid w:val="00D54E1C"/>
    <w:rsid w:val="00D5776E"/>
    <w:rsid w:val="00D57846"/>
    <w:rsid w:val="00D62701"/>
    <w:rsid w:val="00D668AA"/>
    <w:rsid w:val="00D66C50"/>
    <w:rsid w:val="00D679F1"/>
    <w:rsid w:val="00D67C56"/>
    <w:rsid w:val="00D74899"/>
    <w:rsid w:val="00D8454E"/>
    <w:rsid w:val="00D867BF"/>
    <w:rsid w:val="00D92F66"/>
    <w:rsid w:val="00D97653"/>
    <w:rsid w:val="00DA6765"/>
    <w:rsid w:val="00DB218F"/>
    <w:rsid w:val="00DB3794"/>
    <w:rsid w:val="00DB3C4F"/>
    <w:rsid w:val="00DC0436"/>
    <w:rsid w:val="00DC1FA5"/>
    <w:rsid w:val="00DC41FF"/>
    <w:rsid w:val="00DD0062"/>
    <w:rsid w:val="00DD1CA0"/>
    <w:rsid w:val="00DF75AD"/>
    <w:rsid w:val="00E0321D"/>
    <w:rsid w:val="00E05C0A"/>
    <w:rsid w:val="00E06DD9"/>
    <w:rsid w:val="00E06E39"/>
    <w:rsid w:val="00E10408"/>
    <w:rsid w:val="00E21C5A"/>
    <w:rsid w:val="00E347A8"/>
    <w:rsid w:val="00E51A5E"/>
    <w:rsid w:val="00E5566D"/>
    <w:rsid w:val="00E72322"/>
    <w:rsid w:val="00E74C7D"/>
    <w:rsid w:val="00E7674F"/>
    <w:rsid w:val="00E812E6"/>
    <w:rsid w:val="00E836E8"/>
    <w:rsid w:val="00E84FDA"/>
    <w:rsid w:val="00E86C57"/>
    <w:rsid w:val="00E9062B"/>
    <w:rsid w:val="00E91762"/>
    <w:rsid w:val="00E956CD"/>
    <w:rsid w:val="00E96257"/>
    <w:rsid w:val="00E97805"/>
    <w:rsid w:val="00EA24CC"/>
    <w:rsid w:val="00EA2F6E"/>
    <w:rsid w:val="00EB2134"/>
    <w:rsid w:val="00EB27A4"/>
    <w:rsid w:val="00EB3496"/>
    <w:rsid w:val="00EC01F2"/>
    <w:rsid w:val="00ED1395"/>
    <w:rsid w:val="00ED307A"/>
    <w:rsid w:val="00ED65DE"/>
    <w:rsid w:val="00ED749B"/>
    <w:rsid w:val="00ED7865"/>
    <w:rsid w:val="00EE6D1E"/>
    <w:rsid w:val="00EE791D"/>
    <w:rsid w:val="00EF5B9C"/>
    <w:rsid w:val="00F00D89"/>
    <w:rsid w:val="00F10C49"/>
    <w:rsid w:val="00F13927"/>
    <w:rsid w:val="00F13F0F"/>
    <w:rsid w:val="00F206C3"/>
    <w:rsid w:val="00F21D25"/>
    <w:rsid w:val="00F453A4"/>
    <w:rsid w:val="00F45768"/>
    <w:rsid w:val="00F45F80"/>
    <w:rsid w:val="00F62A80"/>
    <w:rsid w:val="00F6392B"/>
    <w:rsid w:val="00F71CB2"/>
    <w:rsid w:val="00F71F90"/>
    <w:rsid w:val="00F85928"/>
    <w:rsid w:val="00FA79B7"/>
    <w:rsid w:val="00FB4856"/>
    <w:rsid w:val="00FC213D"/>
    <w:rsid w:val="00FC2C46"/>
    <w:rsid w:val="00FC6D18"/>
    <w:rsid w:val="00FD04F3"/>
    <w:rsid w:val="00FD2608"/>
    <w:rsid w:val="00FD315D"/>
    <w:rsid w:val="00FD44F0"/>
    <w:rsid w:val="00FE1964"/>
    <w:rsid w:val="00FE1A5A"/>
    <w:rsid w:val="00FE718D"/>
    <w:rsid w:val="00FF2145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AC8D"/>
  <w15:docId w15:val="{81D3C7AA-6B13-4344-8938-34845A35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Graphic,List Paragraph1,Bullets1,Resume Title,Table of contents numbered,List Paragraph Char Char,heading 4,Ha,ADB paragraph numbering,Bullets,Report Para,List Paragraph11,Number Bullets,LIST OF TABLES.,List Paragraph111,lp1"/>
    <w:basedOn w:val="Normal"/>
    <w:link w:val="ListParagraphChar"/>
    <w:uiPriority w:val="34"/>
    <w:qFormat/>
    <w:rsid w:val="00812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3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30E"/>
    <w:rPr>
      <w:color w:val="605E5C"/>
      <w:shd w:val="clear" w:color="auto" w:fill="E1DFDD"/>
    </w:rPr>
  </w:style>
  <w:style w:type="character" w:customStyle="1" w:styleId="ListParagraphChar">
    <w:name w:val="List Paragraph Char"/>
    <w:aliases w:val="Citation List Char,Graphic Char,List Paragraph1 Char,Bullets1 Char,Resume Title Char,Table of contents numbered Char,List Paragraph Char Char Char,heading 4 Char,Ha Char,ADB paragraph numbering Char,Bullets Char,Report Para Char"/>
    <w:link w:val="ListParagraph"/>
    <w:uiPriority w:val="34"/>
    <w:qFormat/>
    <w:locked/>
    <w:rsid w:val="0017754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5413"/>
    <w:rPr>
      <w:color w:val="605E5C"/>
      <w:shd w:val="clear" w:color="auto" w:fill="E1DFDD"/>
    </w:rPr>
  </w:style>
  <w:style w:type="character" w:customStyle="1" w:styleId="None">
    <w:name w:val="None"/>
    <w:rsid w:val="00EC01F2"/>
  </w:style>
  <w:style w:type="paragraph" w:styleId="NoSpacing">
    <w:name w:val="No Spacing"/>
    <w:link w:val="NoSpacingChar"/>
    <w:uiPriority w:val="1"/>
    <w:qFormat/>
    <w:rsid w:val="0026651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66512"/>
  </w:style>
  <w:style w:type="character" w:styleId="UnresolvedMention">
    <w:name w:val="Unresolved Mention"/>
    <w:basedOn w:val="DefaultParagraphFont"/>
    <w:uiPriority w:val="99"/>
    <w:semiHidden/>
    <w:unhideWhenUsed/>
    <w:rsid w:val="0015788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45768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5768"/>
    <w:rPr>
      <w:rFonts w:ascii="Times New Roman" w:eastAsia="SimSu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2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E51A5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51A5E"/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customStyle="1" w:styleId="xcontentpasted0">
    <w:name w:val="x_contentpasted0"/>
    <w:basedOn w:val="DefaultParagraphFont"/>
    <w:rsid w:val="00E51A5E"/>
  </w:style>
  <w:style w:type="paragraph" w:customStyle="1" w:styleId="xmsonormal">
    <w:name w:val="x_msonormal"/>
    <w:basedOn w:val="Normal"/>
    <w:rsid w:val="00E5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EF5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F949-B51F-4107-84E8-13CFBACA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Khushal Vijjan</dc:creator>
  <cp:keywords/>
  <dc:description/>
  <cp:lastModifiedBy>Rupali Dherange</cp:lastModifiedBy>
  <cp:revision>9</cp:revision>
  <cp:lastPrinted>2022-12-21T05:18:00Z</cp:lastPrinted>
  <dcterms:created xsi:type="dcterms:W3CDTF">2023-12-10T15:56:00Z</dcterms:created>
  <dcterms:modified xsi:type="dcterms:W3CDTF">2023-12-24T13:53:00Z</dcterms:modified>
</cp:coreProperties>
</file>